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35" w:rsidRDefault="00194B35" w:rsidP="009E1782">
      <w:pPr>
        <w:jc w:val="center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de-DE"/>
        </w:rPr>
      </w:pPr>
      <w:r>
        <w:rPr>
          <w:rFonts w:ascii="Arial" w:hAnsi="Arial" w:cs="Arial"/>
          <w:b/>
          <w:bCs/>
          <w:noProof/>
          <w:color w:val="333333"/>
          <w:sz w:val="28"/>
          <w:szCs w:val="28"/>
          <w:shd w:val="clear" w:color="auto" w:fill="FFFFFF"/>
          <w:lang w:val="ru-RU" w:eastAsia="ru-RU"/>
        </w:rPr>
        <w:drawing>
          <wp:inline distT="0" distB="0" distL="0" distR="0">
            <wp:extent cx="1962149" cy="981075"/>
            <wp:effectExtent l="0" t="0" r="635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545" cy="986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B35" w:rsidRDefault="00194B35" w:rsidP="009E1782">
      <w:pPr>
        <w:jc w:val="center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de-DE"/>
        </w:rPr>
      </w:pPr>
    </w:p>
    <w:p w:rsidR="003F57D7" w:rsidRDefault="009E1782" w:rsidP="009E1782">
      <w:pPr>
        <w:jc w:val="center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de-DE"/>
        </w:rPr>
      </w:pPr>
      <w:r w:rsidRPr="009E1782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de-DE"/>
        </w:rPr>
        <w:t xml:space="preserve">Fremdsprachenbildung in Zeiten des globalen </w:t>
      </w:r>
      <w:r w:rsidR="003F57D7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de-DE"/>
        </w:rPr>
        <w:t>Wandels</w:t>
      </w:r>
      <w:r w:rsidRPr="009E1782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de-DE"/>
        </w:rPr>
        <w:t xml:space="preserve">. </w:t>
      </w:r>
    </w:p>
    <w:p w:rsidR="009E1782" w:rsidRPr="009E1782" w:rsidRDefault="009E1782" w:rsidP="009E1782">
      <w:pPr>
        <w:jc w:val="center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de-DE"/>
        </w:rPr>
      </w:pPr>
      <w:r w:rsidRPr="009E1782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de-DE"/>
        </w:rPr>
        <w:t>Bedarf an Zusammenarbeit und neuen Perspektiven</w:t>
      </w:r>
    </w:p>
    <w:p w:rsidR="009E1782" w:rsidRDefault="009E1782">
      <w:pPr>
        <w:rPr>
          <w:rFonts w:ascii="Arial" w:hAnsi="Arial" w:cs="Arial"/>
          <w:color w:val="333333"/>
          <w:shd w:val="clear" w:color="auto" w:fill="FFFFFF"/>
          <w:lang w:val="de-DE"/>
        </w:rPr>
      </w:pPr>
    </w:p>
    <w:p w:rsidR="009E1782" w:rsidRPr="00194B35" w:rsidRDefault="009E1782" w:rsidP="009E1782">
      <w:pPr>
        <w:jc w:val="center"/>
        <w:rPr>
          <w:rFonts w:ascii="Arial" w:hAnsi="Arial" w:cs="Arial"/>
          <w:shd w:val="clear" w:color="auto" w:fill="FFFFFF"/>
          <w:lang w:val="de-DE"/>
        </w:rPr>
      </w:pPr>
      <w:r w:rsidRPr="00194B35">
        <w:rPr>
          <w:rFonts w:ascii="Arial" w:hAnsi="Arial" w:cs="Arial"/>
          <w:shd w:val="clear" w:color="auto" w:fill="FFFFFF"/>
          <w:lang w:val="de-DE"/>
        </w:rPr>
        <w:t>27-29</w:t>
      </w:r>
      <w:r w:rsidR="00BF76F2" w:rsidRPr="00194B35">
        <w:rPr>
          <w:rFonts w:ascii="Arial" w:hAnsi="Arial" w:cs="Arial"/>
          <w:shd w:val="clear" w:color="auto" w:fill="FFFFFF"/>
          <w:lang w:val="de-DE"/>
        </w:rPr>
        <w:t>.</w:t>
      </w:r>
      <w:r w:rsidRPr="00194B35">
        <w:rPr>
          <w:rFonts w:ascii="Arial" w:hAnsi="Arial" w:cs="Arial"/>
          <w:shd w:val="clear" w:color="auto" w:fill="FFFFFF"/>
          <w:lang w:val="de-DE"/>
        </w:rPr>
        <w:t xml:space="preserve"> Juni 2022, Warschau/ Polen</w:t>
      </w:r>
    </w:p>
    <w:p w:rsidR="009E1782" w:rsidRPr="00194B35" w:rsidRDefault="009E1782">
      <w:pPr>
        <w:rPr>
          <w:rFonts w:ascii="Arial" w:hAnsi="Arial" w:cs="Arial"/>
          <w:shd w:val="clear" w:color="auto" w:fill="FFFFFF"/>
          <w:lang w:val="de-DE"/>
        </w:rPr>
      </w:pPr>
    </w:p>
    <w:p w:rsidR="009E1782" w:rsidRPr="00194B35" w:rsidRDefault="009E1782" w:rsidP="00194B35">
      <w:pPr>
        <w:spacing w:line="360" w:lineRule="auto"/>
        <w:jc w:val="both"/>
        <w:rPr>
          <w:rFonts w:ascii="Arial" w:hAnsi="Arial" w:cs="Arial"/>
          <w:shd w:val="clear" w:color="auto" w:fill="FFFFFF"/>
          <w:lang w:val="de-DE"/>
        </w:rPr>
      </w:pPr>
      <w:r w:rsidRPr="00194B35">
        <w:rPr>
          <w:rFonts w:ascii="Arial" w:hAnsi="Arial" w:cs="Arial"/>
          <w:lang w:val="de-DE"/>
        </w:rPr>
        <w:t>Das Thema des Kongresses „</w:t>
      </w:r>
      <w:r w:rsidRPr="00194B35">
        <w:rPr>
          <w:rFonts w:ascii="Arial" w:hAnsi="Arial" w:cs="Arial"/>
          <w:shd w:val="clear" w:color="auto" w:fill="FFFFFF"/>
          <w:lang w:val="de-DE"/>
        </w:rPr>
        <w:t xml:space="preserve">Fremdsprachenbildung in Zeiten des globalen </w:t>
      </w:r>
      <w:r w:rsidR="003F57D7" w:rsidRPr="00194B35">
        <w:rPr>
          <w:rFonts w:ascii="Arial" w:hAnsi="Arial" w:cs="Arial"/>
          <w:shd w:val="clear" w:color="auto" w:fill="FFFFFF"/>
          <w:lang w:val="de-DE"/>
        </w:rPr>
        <w:t>Wandels</w:t>
      </w:r>
      <w:r w:rsidRPr="00194B35">
        <w:rPr>
          <w:rFonts w:ascii="Arial" w:hAnsi="Arial" w:cs="Arial"/>
          <w:shd w:val="clear" w:color="auto" w:fill="FFFFFF"/>
          <w:lang w:val="de-DE"/>
        </w:rPr>
        <w:t xml:space="preserve">. Bedarf an Zusammenarbeit und neuen Perspektiven“ </w:t>
      </w:r>
      <w:r w:rsidR="000F5870" w:rsidRPr="00194B35">
        <w:rPr>
          <w:rFonts w:ascii="Arial" w:hAnsi="Arial" w:cs="Arial"/>
          <w:shd w:val="clear" w:color="auto" w:fill="FFFFFF"/>
          <w:lang w:val="de-DE"/>
        </w:rPr>
        <w:t xml:space="preserve">spiegelt die </w:t>
      </w:r>
      <w:r w:rsidRPr="00194B35">
        <w:rPr>
          <w:rFonts w:ascii="Arial" w:hAnsi="Arial" w:cs="Arial"/>
          <w:shd w:val="clear" w:color="auto" w:fill="FFFFFF"/>
          <w:lang w:val="de-DE"/>
        </w:rPr>
        <w:t xml:space="preserve">beispiellosen Änderungen und Herausforderungen, </w:t>
      </w:r>
      <w:r w:rsidR="003F57D7" w:rsidRPr="00194B35">
        <w:rPr>
          <w:rFonts w:ascii="Arial" w:hAnsi="Arial" w:cs="Arial"/>
          <w:shd w:val="clear" w:color="auto" w:fill="FFFFFF"/>
          <w:lang w:val="de-DE"/>
        </w:rPr>
        <w:t xml:space="preserve">wider, </w:t>
      </w:r>
      <w:r w:rsidRPr="00194B35">
        <w:rPr>
          <w:rFonts w:ascii="Arial" w:hAnsi="Arial" w:cs="Arial"/>
          <w:shd w:val="clear" w:color="auto" w:fill="FFFFFF"/>
          <w:lang w:val="de-DE"/>
        </w:rPr>
        <w:t xml:space="preserve">mit denen wir </w:t>
      </w:r>
      <w:r w:rsidR="000F5870" w:rsidRPr="00194B35">
        <w:rPr>
          <w:rFonts w:ascii="Arial" w:hAnsi="Arial" w:cs="Arial"/>
          <w:shd w:val="clear" w:color="auto" w:fill="FFFFFF"/>
          <w:lang w:val="de-DE"/>
        </w:rPr>
        <w:t xml:space="preserve">infolge der Pandemie </w:t>
      </w:r>
      <w:r w:rsidRPr="00194B35">
        <w:rPr>
          <w:rFonts w:ascii="Arial" w:hAnsi="Arial" w:cs="Arial"/>
          <w:shd w:val="clear" w:color="auto" w:fill="FFFFFF"/>
          <w:lang w:val="de-DE"/>
        </w:rPr>
        <w:t>in allen Lebens</w:t>
      </w:r>
      <w:r w:rsidR="003F57D7" w:rsidRPr="00194B35">
        <w:rPr>
          <w:rFonts w:ascii="Arial" w:hAnsi="Arial" w:cs="Arial"/>
          <w:shd w:val="clear" w:color="auto" w:fill="FFFFFF"/>
          <w:lang w:val="de-DE"/>
        </w:rPr>
        <w:t>bereichen</w:t>
      </w:r>
      <w:r w:rsidRPr="00194B35">
        <w:rPr>
          <w:rFonts w:ascii="Arial" w:hAnsi="Arial" w:cs="Arial"/>
          <w:shd w:val="clear" w:color="auto" w:fill="FFFFFF"/>
          <w:lang w:val="de-DE"/>
        </w:rPr>
        <w:t xml:space="preserve"> konfrontiert wurden und an die wir uns anpassen mussten.</w:t>
      </w:r>
      <w:r w:rsidR="000F5870" w:rsidRPr="00194B35">
        <w:rPr>
          <w:rFonts w:ascii="Arial" w:hAnsi="Arial" w:cs="Arial"/>
          <w:shd w:val="clear" w:color="auto" w:fill="FFFFFF"/>
          <w:lang w:val="de-DE"/>
        </w:rPr>
        <w:t xml:space="preserve"> Das betraf insbesondere die Fremdsprachenbildung, die </w:t>
      </w:r>
      <w:r w:rsidR="00BF76F2" w:rsidRPr="00194B35">
        <w:rPr>
          <w:rFonts w:ascii="Arial" w:hAnsi="Arial" w:cs="Arial"/>
          <w:shd w:val="clear" w:color="auto" w:fill="FFFFFF"/>
          <w:lang w:val="de-DE"/>
        </w:rPr>
        <w:t xml:space="preserve">sich </w:t>
      </w:r>
      <w:r w:rsidR="000F5870" w:rsidRPr="00194B35">
        <w:rPr>
          <w:rFonts w:ascii="Arial" w:hAnsi="Arial" w:cs="Arial"/>
          <w:shd w:val="clear" w:color="auto" w:fill="FFFFFF"/>
          <w:lang w:val="de-DE"/>
        </w:rPr>
        <w:t xml:space="preserve">größtenteils auf Onlineressourcen und neue </w:t>
      </w:r>
      <w:r w:rsidR="00440518" w:rsidRPr="00194B35">
        <w:rPr>
          <w:rFonts w:ascii="Arial" w:hAnsi="Arial" w:cs="Arial"/>
          <w:shd w:val="clear" w:color="auto" w:fill="FFFFFF"/>
          <w:lang w:val="de-DE"/>
        </w:rPr>
        <w:t>Medien</w:t>
      </w:r>
      <w:r w:rsidR="000F5870" w:rsidRPr="00194B35">
        <w:rPr>
          <w:rFonts w:ascii="Arial" w:hAnsi="Arial" w:cs="Arial"/>
          <w:shd w:val="clear" w:color="auto" w:fill="FFFFFF"/>
          <w:lang w:val="de-DE"/>
        </w:rPr>
        <w:t xml:space="preserve"> </w:t>
      </w:r>
      <w:r w:rsidR="00BF76F2" w:rsidRPr="00194B35">
        <w:rPr>
          <w:rFonts w:ascii="Arial" w:hAnsi="Arial" w:cs="Arial"/>
          <w:shd w:val="clear" w:color="auto" w:fill="FFFFFF"/>
          <w:lang w:val="de-DE"/>
        </w:rPr>
        <w:t>umstellen</w:t>
      </w:r>
      <w:r w:rsidR="000F5870" w:rsidRPr="00194B35">
        <w:rPr>
          <w:rFonts w:ascii="Arial" w:hAnsi="Arial" w:cs="Arial"/>
          <w:shd w:val="clear" w:color="auto" w:fill="FFFFFF"/>
          <w:lang w:val="de-DE"/>
        </w:rPr>
        <w:t xml:space="preserve"> musste.</w:t>
      </w:r>
    </w:p>
    <w:p w:rsidR="000F5870" w:rsidRPr="00194B35" w:rsidRDefault="000F5870" w:rsidP="00194B35">
      <w:pPr>
        <w:spacing w:line="360" w:lineRule="auto"/>
        <w:jc w:val="both"/>
        <w:rPr>
          <w:rFonts w:ascii="Arial" w:hAnsi="Arial" w:cs="Arial"/>
          <w:shd w:val="clear" w:color="auto" w:fill="FFFFFF"/>
          <w:lang w:val="de-DE"/>
        </w:rPr>
      </w:pPr>
      <w:r w:rsidRPr="00194B35">
        <w:rPr>
          <w:rFonts w:ascii="Arial" w:hAnsi="Arial" w:cs="Arial"/>
          <w:shd w:val="clear" w:color="auto" w:fill="FFFFFF"/>
          <w:lang w:val="de-DE"/>
        </w:rPr>
        <w:t>Der Kongress gibt eine einmalige Gelegenheit, die Fremdsprachenlehrer</w:t>
      </w:r>
      <w:r w:rsidR="003F57D7" w:rsidRPr="00194B35">
        <w:rPr>
          <w:rFonts w:ascii="Arial" w:hAnsi="Arial" w:cs="Arial"/>
          <w:shd w:val="clear" w:color="auto" w:fill="FFFFFF"/>
          <w:lang w:val="de-DE"/>
        </w:rPr>
        <w:t>*innen u</w:t>
      </w:r>
      <w:r w:rsidRPr="00194B35">
        <w:rPr>
          <w:rFonts w:ascii="Arial" w:hAnsi="Arial" w:cs="Arial"/>
          <w:shd w:val="clear" w:color="auto" w:fill="FFFFFF"/>
          <w:lang w:val="de-DE"/>
        </w:rPr>
        <w:t xml:space="preserve">nd </w:t>
      </w:r>
      <w:r w:rsidR="003F57D7" w:rsidRPr="00194B35">
        <w:rPr>
          <w:rFonts w:ascii="Arial" w:hAnsi="Arial" w:cs="Arial"/>
          <w:shd w:val="clear" w:color="auto" w:fill="FFFFFF"/>
          <w:lang w:val="de-DE"/>
        </w:rPr>
        <w:t xml:space="preserve">              </w:t>
      </w:r>
      <w:r w:rsidRPr="00194B35">
        <w:rPr>
          <w:rFonts w:ascii="Arial" w:hAnsi="Arial" w:cs="Arial"/>
          <w:shd w:val="clear" w:color="auto" w:fill="FFFFFF"/>
          <w:lang w:val="de-DE"/>
        </w:rPr>
        <w:t>-expert</w:t>
      </w:r>
      <w:r w:rsidR="003F57D7" w:rsidRPr="00194B35">
        <w:rPr>
          <w:rFonts w:ascii="Arial" w:hAnsi="Arial" w:cs="Arial"/>
          <w:shd w:val="clear" w:color="auto" w:fill="FFFFFF"/>
          <w:lang w:val="de-DE"/>
        </w:rPr>
        <w:t>*innen</w:t>
      </w:r>
      <w:r w:rsidRPr="00194B35">
        <w:rPr>
          <w:rFonts w:ascii="Arial" w:hAnsi="Arial" w:cs="Arial"/>
          <w:shd w:val="clear" w:color="auto" w:fill="FFFFFF"/>
          <w:lang w:val="de-DE"/>
        </w:rPr>
        <w:t xml:space="preserve"> aus der ganzen Welt zu treffen und über mannigfaltige Aspekte des Fremdsprachenlehrens- und -lernens zu diskutieren. Das Forum wird auch Gelegenheit bieten, die neusten wissenschaftlichen </w:t>
      </w:r>
      <w:r w:rsidR="00BF76F2" w:rsidRPr="00194B35">
        <w:rPr>
          <w:rFonts w:ascii="Arial" w:hAnsi="Arial" w:cs="Arial"/>
          <w:shd w:val="clear" w:color="auto" w:fill="FFFFFF"/>
          <w:lang w:val="de-DE"/>
        </w:rPr>
        <w:t>B</w:t>
      </w:r>
      <w:r w:rsidRPr="00194B35">
        <w:rPr>
          <w:rFonts w:ascii="Arial" w:hAnsi="Arial" w:cs="Arial"/>
          <w:shd w:val="clear" w:color="auto" w:fill="FFFFFF"/>
          <w:lang w:val="de-DE"/>
        </w:rPr>
        <w:t>efunde auf diesem Gebiet zu verbreiten.</w:t>
      </w:r>
    </w:p>
    <w:p w:rsidR="000F5870" w:rsidRPr="00194B35" w:rsidRDefault="000F5870" w:rsidP="00194B35">
      <w:pPr>
        <w:spacing w:line="360" w:lineRule="auto"/>
        <w:jc w:val="both"/>
        <w:rPr>
          <w:rFonts w:ascii="Arial" w:hAnsi="Arial" w:cs="Arial"/>
          <w:shd w:val="clear" w:color="auto" w:fill="FFFFFF"/>
          <w:lang w:val="de-DE"/>
        </w:rPr>
      </w:pPr>
      <w:r w:rsidRPr="00194B35">
        <w:rPr>
          <w:rFonts w:ascii="Arial" w:hAnsi="Arial" w:cs="Arial"/>
          <w:shd w:val="clear" w:color="auto" w:fill="FFFFFF"/>
          <w:lang w:val="de-DE"/>
        </w:rPr>
        <w:t xml:space="preserve">Als Plenarvortragende </w:t>
      </w:r>
      <w:r w:rsidR="003F57D7" w:rsidRPr="00194B35">
        <w:rPr>
          <w:rFonts w:ascii="Arial" w:hAnsi="Arial" w:cs="Arial"/>
          <w:shd w:val="clear" w:color="auto" w:fill="FFFFFF"/>
          <w:lang w:val="de-DE"/>
        </w:rPr>
        <w:t>für die</w:t>
      </w:r>
      <w:r w:rsidRPr="00194B35">
        <w:rPr>
          <w:rFonts w:ascii="Arial" w:hAnsi="Arial" w:cs="Arial"/>
          <w:shd w:val="clear" w:color="auto" w:fill="FFFFFF"/>
          <w:lang w:val="de-DE"/>
        </w:rPr>
        <w:t xml:space="preserve"> deutsche Sprache konnten wir Prof. Marion Grein von der Johannes Gutenberg-Universität Mainz gewinnen.</w:t>
      </w:r>
    </w:p>
    <w:p w:rsidR="003664F7" w:rsidRPr="00194B35" w:rsidRDefault="003664F7" w:rsidP="00194B35">
      <w:pPr>
        <w:spacing w:after="0" w:line="360" w:lineRule="auto"/>
        <w:jc w:val="both"/>
        <w:rPr>
          <w:rFonts w:ascii="Arial" w:hAnsi="Arial" w:cs="Arial"/>
          <w:b/>
          <w:lang w:val="de-DE"/>
        </w:rPr>
      </w:pPr>
      <w:r w:rsidRPr="00194B35">
        <w:rPr>
          <w:rFonts w:ascii="Arial" w:hAnsi="Arial" w:cs="Arial"/>
          <w:b/>
          <w:lang w:val="de-DE"/>
        </w:rPr>
        <w:t xml:space="preserve">Abstracts </w:t>
      </w:r>
    </w:p>
    <w:p w:rsidR="003664F7" w:rsidRPr="00194B35" w:rsidRDefault="003664F7" w:rsidP="00194B35">
      <w:pPr>
        <w:spacing w:after="0" w:line="360" w:lineRule="auto"/>
        <w:jc w:val="both"/>
        <w:rPr>
          <w:rFonts w:ascii="Arial" w:hAnsi="Arial" w:cs="Arial"/>
          <w:lang w:val="de-DE"/>
        </w:rPr>
      </w:pPr>
      <w:r w:rsidRPr="00194B35">
        <w:rPr>
          <w:rFonts w:ascii="Arial" w:hAnsi="Arial" w:cs="Arial"/>
          <w:lang w:val="de-DE"/>
        </w:rPr>
        <w:t xml:space="preserve">Vorschläge für Präsentationen </w:t>
      </w:r>
      <w:r w:rsidR="0024706A" w:rsidRPr="00194B35">
        <w:rPr>
          <w:rFonts w:ascii="Arial" w:hAnsi="Arial" w:cs="Arial"/>
          <w:lang w:val="de-DE"/>
        </w:rPr>
        <w:t xml:space="preserve">im Umfang von 150 Wörtern </w:t>
      </w:r>
      <w:r w:rsidRPr="00194B35">
        <w:rPr>
          <w:rFonts w:ascii="Arial" w:hAnsi="Arial" w:cs="Arial"/>
          <w:lang w:val="de-DE"/>
        </w:rPr>
        <w:t xml:space="preserve">sollten bis zum 15. Oktober 2021 </w:t>
      </w:r>
      <w:r w:rsidR="0024706A" w:rsidRPr="00194B35">
        <w:rPr>
          <w:rFonts w:ascii="Arial" w:hAnsi="Arial" w:cs="Arial"/>
          <w:lang w:val="de-DE"/>
        </w:rPr>
        <w:t xml:space="preserve">an: </w:t>
      </w:r>
      <w:hyperlink r:id="rId8" w:history="1">
        <w:r w:rsidR="0024706A" w:rsidRPr="00194B35">
          <w:rPr>
            <w:rStyle w:val="a3"/>
            <w:rFonts w:ascii="Arial" w:hAnsi="Arial" w:cs="Arial"/>
            <w:color w:val="auto"/>
            <w:lang w:val="de-DE"/>
          </w:rPr>
          <w:t>kongressfiplv2022@wn.uw.edu.pl</w:t>
        </w:r>
      </w:hyperlink>
      <w:r w:rsidR="0024706A" w:rsidRPr="00194B35">
        <w:rPr>
          <w:rFonts w:ascii="Arial" w:hAnsi="Arial" w:cs="Arial"/>
          <w:lang w:val="de-DE"/>
        </w:rPr>
        <w:t xml:space="preserve"> eingereicht werden. Die Information</w:t>
      </w:r>
      <w:r w:rsidR="00AB708C" w:rsidRPr="00194B35">
        <w:rPr>
          <w:rFonts w:ascii="Arial" w:hAnsi="Arial" w:cs="Arial"/>
          <w:lang w:val="de-DE"/>
        </w:rPr>
        <w:t>en</w:t>
      </w:r>
      <w:r w:rsidR="0024706A" w:rsidRPr="00194B35">
        <w:rPr>
          <w:rFonts w:ascii="Arial" w:hAnsi="Arial" w:cs="Arial"/>
          <w:lang w:val="de-DE"/>
        </w:rPr>
        <w:t xml:space="preserve"> zur Annahme de</w:t>
      </w:r>
      <w:r w:rsidR="003F57D7" w:rsidRPr="00194B35">
        <w:rPr>
          <w:rFonts w:ascii="Arial" w:hAnsi="Arial" w:cs="Arial"/>
          <w:lang w:val="de-DE"/>
        </w:rPr>
        <w:t>r</w:t>
      </w:r>
      <w:r w:rsidR="0024706A" w:rsidRPr="00194B35">
        <w:rPr>
          <w:rFonts w:ascii="Arial" w:hAnsi="Arial" w:cs="Arial"/>
          <w:lang w:val="de-DE"/>
        </w:rPr>
        <w:t xml:space="preserve"> Abstracts werden Ende November </w:t>
      </w:r>
      <w:r w:rsidR="00AB708C" w:rsidRPr="00194B35">
        <w:rPr>
          <w:rFonts w:ascii="Arial" w:hAnsi="Arial" w:cs="Arial"/>
          <w:lang w:val="de-DE"/>
        </w:rPr>
        <w:t xml:space="preserve">2021 </w:t>
      </w:r>
      <w:r w:rsidR="0024706A" w:rsidRPr="00194B35">
        <w:rPr>
          <w:rFonts w:ascii="Arial" w:hAnsi="Arial" w:cs="Arial"/>
          <w:lang w:val="de-DE"/>
        </w:rPr>
        <w:t>verschickt.</w:t>
      </w:r>
    </w:p>
    <w:p w:rsidR="0024706A" w:rsidRPr="00194B35" w:rsidRDefault="0024706A" w:rsidP="00194B35">
      <w:pPr>
        <w:spacing w:after="0" w:line="360" w:lineRule="auto"/>
        <w:jc w:val="both"/>
        <w:rPr>
          <w:rFonts w:ascii="Arial" w:hAnsi="Arial" w:cs="Arial"/>
          <w:lang w:val="de-DE"/>
        </w:rPr>
      </w:pPr>
      <w:r w:rsidRPr="00194B35">
        <w:rPr>
          <w:rFonts w:ascii="Arial" w:hAnsi="Arial" w:cs="Arial"/>
          <w:lang w:val="de-DE"/>
        </w:rPr>
        <w:t>Die eingesandten Abstracts können sich mit verschiedenen Aspekten des Themas auseinandersetzen, insbesondere aber mit den folgenden:</w:t>
      </w:r>
    </w:p>
    <w:p w:rsidR="0024706A" w:rsidRPr="00194B35" w:rsidRDefault="0024706A" w:rsidP="00194B3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lang w:val="de-DE"/>
        </w:rPr>
      </w:pPr>
      <w:r w:rsidRPr="00194B35">
        <w:rPr>
          <w:rFonts w:ascii="Arial" w:hAnsi="Arial" w:cs="Arial"/>
          <w:bCs/>
          <w:lang w:val="de-DE"/>
        </w:rPr>
        <w:t>Unterrichten von Sprachfertigkeiten und linguistischen Kompetenzen;</w:t>
      </w:r>
    </w:p>
    <w:p w:rsidR="0024706A" w:rsidRPr="00194B35" w:rsidRDefault="0024706A" w:rsidP="00194B3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lang w:val="de-DE"/>
        </w:rPr>
      </w:pPr>
      <w:r w:rsidRPr="00194B35">
        <w:rPr>
          <w:rFonts w:ascii="Arial" w:hAnsi="Arial" w:cs="Arial"/>
          <w:bCs/>
          <w:lang w:val="de-DE"/>
        </w:rPr>
        <w:t xml:space="preserve">Neue Medien im </w:t>
      </w:r>
      <w:r w:rsidR="00AB708C" w:rsidRPr="00194B35">
        <w:rPr>
          <w:rFonts w:ascii="Arial" w:hAnsi="Arial" w:cs="Arial"/>
          <w:bCs/>
          <w:lang w:val="de-DE"/>
        </w:rPr>
        <w:t>Fremdsprachenunterricht</w:t>
      </w:r>
      <w:r w:rsidRPr="00194B35">
        <w:rPr>
          <w:rFonts w:ascii="Arial" w:hAnsi="Arial" w:cs="Arial"/>
          <w:bCs/>
          <w:lang w:val="de-DE"/>
        </w:rPr>
        <w:t>;</w:t>
      </w:r>
    </w:p>
    <w:p w:rsidR="0024706A" w:rsidRPr="00194B35" w:rsidRDefault="00AB708C" w:rsidP="00194B3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lang w:val="de-DE"/>
        </w:rPr>
      </w:pPr>
      <w:r w:rsidRPr="00194B35">
        <w:rPr>
          <w:rFonts w:ascii="Arial" w:hAnsi="Arial" w:cs="Arial"/>
          <w:bCs/>
          <w:lang w:val="de-DE"/>
        </w:rPr>
        <w:t>Mehrsprachige Ausbildung;</w:t>
      </w:r>
    </w:p>
    <w:p w:rsidR="00AB708C" w:rsidRPr="00194B35" w:rsidRDefault="00AB708C" w:rsidP="00194B3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lang w:val="de-DE"/>
        </w:rPr>
      </w:pPr>
      <w:r w:rsidRPr="00194B35">
        <w:rPr>
          <w:rFonts w:ascii="Arial" w:hAnsi="Arial" w:cs="Arial"/>
          <w:bCs/>
          <w:lang w:val="de-DE"/>
        </w:rPr>
        <w:t>Förderung der interkulturellen Kompetenz;</w:t>
      </w:r>
    </w:p>
    <w:p w:rsidR="00AB708C" w:rsidRPr="00194B35" w:rsidRDefault="00AB708C" w:rsidP="00194B3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lang w:val="de-DE"/>
        </w:rPr>
      </w:pPr>
      <w:r w:rsidRPr="00194B35">
        <w:rPr>
          <w:rFonts w:ascii="Arial" w:hAnsi="Arial" w:cs="Arial"/>
          <w:bCs/>
          <w:lang w:val="de-DE"/>
        </w:rPr>
        <w:t>Individuelle Unterschiede;</w:t>
      </w:r>
    </w:p>
    <w:p w:rsidR="00AB708C" w:rsidRPr="00194B35" w:rsidRDefault="00AB708C" w:rsidP="00194B3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lang w:val="de-DE"/>
        </w:rPr>
      </w:pPr>
      <w:r w:rsidRPr="00194B35">
        <w:rPr>
          <w:rFonts w:ascii="Arial" w:hAnsi="Arial" w:cs="Arial"/>
          <w:bCs/>
          <w:lang w:val="de-DE"/>
        </w:rPr>
        <w:lastRenderedPageBreak/>
        <w:t>Lernautonomie und Lernstrategien;</w:t>
      </w:r>
    </w:p>
    <w:p w:rsidR="00AB708C" w:rsidRPr="00194B35" w:rsidRDefault="00AB708C" w:rsidP="00194B3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lang w:val="de-DE"/>
        </w:rPr>
      </w:pPr>
      <w:r w:rsidRPr="00194B35">
        <w:rPr>
          <w:rFonts w:ascii="Arial" w:hAnsi="Arial" w:cs="Arial"/>
          <w:bCs/>
          <w:lang w:val="de-DE"/>
        </w:rPr>
        <w:t>Sprach- und Fachunterricht (Content and Language Integrated Learning);</w:t>
      </w:r>
    </w:p>
    <w:p w:rsidR="00AB708C" w:rsidRPr="00194B35" w:rsidRDefault="00AB708C" w:rsidP="00194B3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lang w:val="de-DE"/>
        </w:rPr>
      </w:pPr>
      <w:r w:rsidRPr="00194B35">
        <w:rPr>
          <w:rFonts w:ascii="Arial" w:hAnsi="Arial" w:cs="Arial"/>
          <w:bCs/>
          <w:lang w:val="de-DE"/>
        </w:rPr>
        <w:t>Interaktionen in der Klasse und Klassenführung;</w:t>
      </w:r>
    </w:p>
    <w:p w:rsidR="00AB708C" w:rsidRPr="00194B35" w:rsidRDefault="00AB708C" w:rsidP="00194B3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lang w:val="de-DE"/>
        </w:rPr>
      </w:pPr>
      <w:r w:rsidRPr="00194B35">
        <w:rPr>
          <w:rFonts w:ascii="Arial" w:hAnsi="Arial" w:cs="Arial"/>
          <w:bCs/>
          <w:lang w:val="de-DE"/>
        </w:rPr>
        <w:t>Lehrerkompetenzen und -überzeugungen;</w:t>
      </w:r>
    </w:p>
    <w:p w:rsidR="00AB708C" w:rsidRPr="00194B35" w:rsidRDefault="00AB708C" w:rsidP="00194B3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lang w:val="de-DE"/>
        </w:rPr>
      </w:pPr>
      <w:r w:rsidRPr="00194B35">
        <w:rPr>
          <w:rFonts w:ascii="Arial" w:hAnsi="Arial" w:cs="Arial"/>
          <w:bCs/>
          <w:lang w:val="de-DE"/>
        </w:rPr>
        <w:t>Fremdsprachenlehreraus- und -fortbildung;</w:t>
      </w:r>
    </w:p>
    <w:p w:rsidR="00AB708C" w:rsidRPr="00194B35" w:rsidRDefault="00AB708C" w:rsidP="00194B3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lang w:val="de-DE"/>
        </w:rPr>
      </w:pPr>
      <w:r w:rsidRPr="00194B35">
        <w:rPr>
          <w:rFonts w:ascii="Arial" w:hAnsi="Arial" w:cs="Arial"/>
          <w:bCs/>
          <w:lang w:val="de-DE"/>
        </w:rPr>
        <w:t>Lehrwerke und Unterrichtsmaterialien;</w:t>
      </w:r>
    </w:p>
    <w:p w:rsidR="00AB708C" w:rsidRPr="00194B35" w:rsidRDefault="00AB708C" w:rsidP="00194B3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lang w:val="de-DE"/>
        </w:rPr>
      </w:pPr>
      <w:r w:rsidRPr="00194B35">
        <w:rPr>
          <w:rFonts w:ascii="Arial" w:hAnsi="Arial" w:cs="Arial"/>
          <w:bCs/>
          <w:lang w:val="de-DE"/>
        </w:rPr>
        <w:t>Entwicklung von Curricula;</w:t>
      </w:r>
    </w:p>
    <w:p w:rsidR="00AB708C" w:rsidRPr="00194B35" w:rsidRDefault="00AB708C" w:rsidP="00194B3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lang w:val="de-DE"/>
        </w:rPr>
      </w:pPr>
      <w:r w:rsidRPr="00194B35">
        <w:rPr>
          <w:rFonts w:ascii="Arial" w:hAnsi="Arial" w:cs="Arial"/>
          <w:bCs/>
          <w:lang w:val="de-DE"/>
        </w:rPr>
        <w:t>Der Europäische Referenzrahmen für Sprachen;</w:t>
      </w:r>
    </w:p>
    <w:p w:rsidR="00AB708C" w:rsidRPr="00194B35" w:rsidRDefault="00AB708C" w:rsidP="00194B3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lang w:val="de-DE"/>
        </w:rPr>
      </w:pPr>
      <w:r w:rsidRPr="00194B35">
        <w:rPr>
          <w:rFonts w:ascii="Arial" w:hAnsi="Arial" w:cs="Arial"/>
          <w:bCs/>
          <w:lang w:val="de-DE"/>
        </w:rPr>
        <w:t>Evaluation von Fremdsprachenkompetenzen;</w:t>
      </w:r>
    </w:p>
    <w:p w:rsidR="00AB708C" w:rsidRPr="00194B35" w:rsidRDefault="00AB708C" w:rsidP="00194B3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lang w:val="de-DE"/>
        </w:rPr>
      </w:pPr>
      <w:r w:rsidRPr="00194B35">
        <w:rPr>
          <w:rFonts w:ascii="Arial" w:hAnsi="Arial" w:cs="Arial"/>
          <w:bCs/>
          <w:lang w:val="de-DE"/>
        </w:rPr>
        <w:t>Forschungsmethoden in der Fremdsprachendidaktik.</w:t>
      </w:r>
    </w:p>
    <w:p w:rsidR="000F5870" w:rsidRPr="00194B35" w:rsidRDefault="00AB708C" w:rsidP="00194B35">
      <w:pPr>
        <w:spacing w:line="360" w:lineRule="auto"/>
        <w:jc w:val="both"/>
        <w:rPr>
          <w:rFonts w:ascii="Arial" w:hAnsi="Arial" w:cs="Arial"/>
          <w:shd w:val="clear" w:color="auto" w:fill="FFFFFF"/>
          <w:lang w:val="de-DE"/>
        </w:rPr>
      </w:pPr>
      <w:r w:rsidRPr="00194B35">
        <w:rPr>
          <w:rFonts w:ascii="Arial" w:hAnsi="Arial" w:cs="Arial"/>
          <w:shd w:val="clear" w:color="auto" w:fill="FFFFFF"/>
          <w:lang w:val="de-DE"/>
        </w:rPr>
        <w:t>Detaillierte Informationen zu Teilnahmegebühren, Anreisemöglichkeiten und Unterkünften werden im Oktober 2021 bekanntgegeben.</w:t>
      </w:r>
    </w:p>
    <w:p w:rsidR="009E1782" w:rsidRPr="00194B35" w:rsidRDefault="009E1782" w:rsidP="00194B35">
      <w:pPr>
        <w:jc w:val="both"/>
        <w:rPr>
          <w:rFonts w:ascii="Arial" w:hAnsi="Arial" w:cs="Arial"/>
          <w:lang w:val="de-DE"/>
        </w:rPr>
      </w:pPr>
    </w:p>
    <w:sectPr w:rsidR="009E1782" w:rsidRPr="00194B35" w:rsidSect="006220C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522" w:rsidRDefault="00722522" w:rsidP="00194B35">
      <w:pPr>
        <w:spacing w:after="0" w:line="240" w:lineRule="auto"/>
      </w:pPr>
      <w:r>
        <w:separator/>
      </w:r>
    </w:p>
  </w:endnote>
  <w:endnote w:type="continuationSeparator" w:id="0">
    <w:p w:rsidR="00722522" w:rsidRDefault="00722522" w:rsidP="0019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6142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4B35" w:rsidRDefault="006220CD">
        <w:pPr>
          <w:pStyle w:val="a7"/>
          <w:jc w:val="right"/>
        </w:pPr>
        <w:r>
          <w:fldChar w:fldCharType="begin"/>
        </w:r>
        <w:r w:rsidR="00194B35">
          <w:instrText xml:space="preserve"> PAGE   \* MERGEFORMAT </w:instrText>
        </w:r>
        <w:r>
          <w:fldChar w:fldCharType="separate"/>
        </w:r>
        <w:r w:rsidR="00B66D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4B35" w:rsidRDefault="00194B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522" w:rsidRDefault="00722522" w:rsidP="00194B35">
      <w:pPr>
        <w:spacing w:after="0" w:line="240" w:lineRule="auto"/>
      </w:pPr>
      <w:r>
        <w:separator/>
      </w:r>
    </w:p>
  </w:footnote>
  <w:footnote w:type="continuationSeparator" w:id="0">
    <w:p w:rsidR="00722522" w:rsidRDefault="00722522" w:rsidP="0019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16E92"/>
    <w:multiLevelType w:val="hybridMultilevel"/>
    <w:tmpl w:val="47305CC2"/>
    <w:lvl w:ilvl="0" w:tplc="37BEEB6C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782"/>
    <w:rsid w:val="000F5870"/>
    <w:rsid w:val="00194B35"/>
    <w:rsid w:val="0024706A"/>
    <w:rsid w:val="003664F7"/>
    <w:rsid w:val="003F57D7"/>
    <w:rsid w:val="00425557"/>
    <w:rsid w:val="00440518"/>
    <w:rsid w:val="006220CD"/>
    <w:rsid w:val="00722522"/>
    <w:rsid w:val="008B1E00"/>
    <w:rsid w:val="009E1782"/>
    <w:rsid w:val="00AB708C"/>
    <w:rsid w:val="00B66D1B"/>
    <w:rsid w:val="00BF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4F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706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4706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4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4B35"/>
  </w:style>
  <w:style w:type="paragraph" w:styleId="a7">
    <w:name w:val="footer"/>
    <w:basedOn w:val="a"/>
    <w:link w:val="a8"/>
    <w:uiPriority w:val="99"/>
    <w:unhideWhenUsed/>
    <w:rsid w:val="00194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4B35"/>
  </w:style>
  <w:style w:type="paragraph" w:styleId="a9">
    <w:name w:val="Balloon Text"/>
    <w:basedOn w:val="a"/>
    <w:link w:val="aa"/>
    <w:uiPriority w:val="99"/>
    <w:semiHidden/>
    <w:unhideWhenUsed/>
    <w:rsid w:val="00B6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gressfiplv2022@wn.uw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Janicka</dc:creator>
  <cp:lastModifiedBy>Windows User</cp:lastModifiedBy>
  <cp:revision>2</cp:revision>
  <dcterms:created xsi:type="dcterms:W3CDTF">2021-09-21T15:39:00Z</dcterms:created>
  <dcterms:modified xsi:type="dcterms:W3CDTF">2021-09-21T15:39:00Z</dcterms:modified>
</cp:coreProperties>
</file>